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30.12.2011 N 795</w:t>
              <w:br/>
              <w:t xml:space="preserve">(ред. от 14.07.2016)</w:t>
              <w:br/>
              <w:t xml:space="preserve">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</w:t>
              <w:br/>
              <w:t xml:space="preserve">(Зарегистрировано в Минюсте России 11.03.2012 N 23433)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марта 2012 г. N 23433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декабря 2011 г. N 795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УСТАНОВЛЕНИЯ ФАКТА НАРУШЕНИЯ УСЛОВИЙ ЖИЗНЕДЕЯТЕЛЬНОСТИ</w:t>
      </w:r>
    </w:p>
    <w:p>
      <w:pPr>
        <w:pStyle w:val="2"/>
        <w:jc w:val="center"/>
      </w:pPr>
      <w:r>
        <w:rPr>
          <w:sz w:val="20"/>
        </w:rPr>
        <w:t xml:space="preserve">ПРИ АВАРИИ НА ОПАСНОМ ОБЪЕКТЕ, ВКЛЮЧАЯ КРИТЕРИИ, ПО КОТОРЫМ</w:t>
      </w:r>
    </w:p>
    <w:p>
      <w:pPr>
        <w:pStyle w:val="2"/>
        <w:jc w:val="center"/>
      </w:pPr>
      <w:r>
        <w:rPr>
          <w:sz w:val="20"/>
        </w:rPr>
        <w:t xml:space="preserve">УСТАНАВЛИВАЕТСЯ УКАЗАННЫЙ ФАКТ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14.07.2016 N 376)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03.11.2011 N 910 &quot;О порядке установления факта нарушения условий жизнедеятельности при аварии на опасном объекте и критериях, по которым устанавливается указанный фак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ноября 2011 г. N 910 "О порядке установления факта нарушения условий жизнедеятельности при аварии на опасном объекте и критериях, по которым устанавливается указанный факт" (Собрание законодательства Российской Федерации, 2011, N 46, ст. 6532)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установления факта нарушения условий жизнедеятельности при аварии на опасном объекте, включая критерии, по которым устанавливается указанный факт.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30.12.2011 N 795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УСТАНОВЛЕНИЯ ФАКТА НАРУШЕНИЯ УСЛОВИЙ ЖИЗНЕДЕЯТЕЛЬНОСТИ</w:t>
      </w:r>
    </w:p>
    <w:p>
      <w:pPr>
        <w:pStyle w:val="2"/>
        <w:jc w:val="center"/>
      </w:pPr>
      <w:r>
        <w:rPr>
          <w:sz w:val="20"/>
        </w:rPr>
        <w:t xml:space="preserve">ПРИ АВАРИИ НА ОПАСНОМ ОБЪЕКТЕ, ВКЛЮЧАЯ КРИТЕРИИ, ПО КОТОРЫМ</w:t>
      </w:r>
    </w:p>
    <w:p>
      <w:pPr>
        <w:pStyle w:val="2"/>
        <w:jc w:val="center"/>
      </w:pPr>
      <w:r>
        <w:rPr>
          <w:sz w:val="20"/>
        </w:rPr>
        <w:t xml:space="preserve">УСТАНАВЛИВАЕТСЯ УКАЗАННЫЙ ФАКТ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14.07.2016 N 376)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установления факта нарушения условий жизнедеятельности при аварии на опасном объекте, включая критерии, по которым устанавливается указанный факт (далее - Порядок), разработан в соответствии с Федеральным </w:t>
      </w:r>
      <w:hyperlink w:history="0" r:id="rId10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&lt;*&gt; и </w:t>
      </w:r>
      <w:hyperlink w:history="0" r:id="rId11" w:tooltip="Постановление Правительства РФ от 03.11.2011 N 910 &quot;О порядке установления факта нарушения условий жизнедеятельности при аварии на опасном объекте и критериях, по которым устанавливается указанный фак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ноября 2011 г. N 910 "О порядке установления факта нарушения условий жизнедеятельности при аварии на опасном объекте и критериях, по которым устанавливается указанный факт" &lt;**&gt; и определяет правила установления факта нарушения условий жизнедеятельности при аварии на опасном объекте, а также критерии, по которым устанавливается факт нарушения условий жизнедеятельности при аварии на опасном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Собрание законодательства Российской Федерации, 2010, N 31, ст. 4194.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Собрание законодательства Российской Федерации, 2010, N 46, ст. 6532.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Под фактом нарушения условий жизнедеятельности понимается наличие либо отсутствие ситуации, которая возникла в результате аварии на опасном объекте и при которой на определенной территории невозможно проживание людей в связи с гибелью или повреждением имущества, угрозой их жизни или здоровью &lt;*&gt;.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Факт нарушения условий жизнедеятельности при аварии на опасном объекте устанавливается исходя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невозможность проживания потерпевшего в жилых помещениях (местах проживания);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невозможность осуществления транспортного сообщения между территорией проживания потерпевшего и иными территориями, где условия жизнедеятельности не были нарушены;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нарушение санитарно-эпидемиологического благополучия потерпевшего.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Условия жизнедеятельности при аварии на опасном объекте считаются нарушенными, если выявлено нарушение условий хотя бы по одному из критериев, указанных в </w:t>
      </w:r>
      <w:hyperlink w:history="0" w:anchor="P45" w:tooltip="3. Факт нарушения условий жизнедеятельности при аварии на опасном объекте устанавливается исходя из следующих критериев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при этом прекращение нарушения условий жизнедеятельности по указанным критериям означает окончание фактического периода нарушения таких условий.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2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14.07.2016 N 376)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Критерий невозможности проживания потерпевшего в жилых помещениях (местах проживания)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степень повреждения здания (помещения);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состояние теплоснабжения здания (помещения);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состояние водоснабжения здания (помещения);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состояние электроснабжения здания (помещения);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возможность использования лифта.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Степень повреждения здания (помещения) определяется визуально в соответствии с алгоритмом, изложенным в </w:t>
      </w:r>
      <w:hyperlink w:history="0" w:anchor="P107" w:tooltip="АЛГОРИТМ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теплоснабжения здания (помещения) определяется инструментально в соответствии с алгоритмом, изложенным в </w:t>
      </w:r>
      <w:hyperlink w:history="0" w:anchor="P190" w:tooltip="АЛГОРИТМ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водоснабжения здания (помещения) определяется визуально. Невозможность проживания потерпевшего в жилых помещениях (местах проживания) констатируется, если в результате аварии на опасном объекте более суток прекращено водоснабжение жилого здания (помещения), осуществляемое до аварии на опасном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электроснабжения здания (помещения) определяется инструментально. Невозможность проживания потерпевшего в жилых помещениях (местах проживания) констатируется, если в результате аварии на опасном объекте более суток прекращено электроснабжение жилого здания (помещения), осуществляемое до аварии на опасном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использования лифта определяется визуально. Невозможность проживания потерпевшего в жилых помещениях (местах проживания) констатируется, если в результате аварии на опасном объекте более суток невозможно использование всех лифтов в здании на этажах выше шестого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Критерий невозможности осуществления транспортного сообщения между территорией проживания потерпевшего и иными территориями, где условия жизнедеятельности не были нарушены, оценивается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определения наличия и состава общественного транспорта в районе проживания потерпевшего;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определения возможности функционирования общественного транспорта от ближайшего к потерпевшему остановочного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потерпевшего и иными территориями, где условия жизнедеятельности не были нарушены.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Критерий нарушения санитарно-эпидемиологического благополучия потерпевшего оценивается инструментально. Нарушение санитарно-эпидемиологического благополучия потерпевшего констатируется, если в районе го проживания потерпевшего в результате аварии на опасном объекте произошло загрязнение атмосферного воздуха, воды и почвы загрязняющими веществами, превышающее предельно допустимые концентрации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13" w:tooltip="Постановление Главного государственного санитарного врача РФ от 30.05.2003 N 114 (ред. от 30.08.2016) &quot;О введении в действие ГН 2.1.6.1338-03&quot; (вместе с &quot;ГН 2.1.6.1338-03. Предельно допустимые концентрации (ПДК) загрязняющих веществ в атмосферном воздухе населенных мест. Гигиенические нормативы&quot;, утв. Главным государственным санитарным врачом РФ 21.05.2003) (Зарегистрировано в Минюсте России 11.06.2003 N 4679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30 мая 2003 г. N 114 "О введении в действие ГН 2.1.6.1338-03" (зарегистрировано в Министерстве юстиции Российской Федерации 11 июня 2003 г., регистрационный N 4679).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Установление факта нарушения условий жизнедеятельности, включая дату его начала и окончания, осуществляется органами местного самоуправления в случае аварии на опасном объекте самостоятельно или на основании заявления потерпевшего &lt;*&gt; об установлении факта нарушения условий жизнедеятельности при аварии на опасном объекте (далее - заявление), которое подается в органы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4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14.07.2016 N 376)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Федеральный </w:t>
      </w:r>
      <w:hyperlink w:history="0" r:id="rId15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В заявлении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потерпевшего;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и дата выдачи документа, удостоверяющего личность потерпевшего;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органа, выдавшего документ, удостоверяющий личность потерпевшего;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жилого помещения, в котором проживает потерпевший;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 нарушения условий жизнедеятельности потерпевшего;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почтовый адрес и номер (номера) телефона, а также адрес электронной почты, необходимые для связи с потерпевшим.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прилагается копия документа, удостоверяющего личность потерпевшего, или иного документа, подтверждающего проживание потерпевшего на территории, где произошла авария на опасном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подтверждения факта нарушения условий жизнедеятельности при аварии на опасном объекте органы местного самоуправления, наделенные полномочиями по решению вопросов организации и осуществления мероприятий по гражданской обороне, защите населения и территорий от чрезвычайных ситуаций (далее - орган местного самоуправления), выдают заключение об установлении факта нарушения условий жизнедеятельности при аварии на опасном объекте (далее - заключение) в течение 10 рабочих дней со дня обращения потерпевшего.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14.07.2016 N 376)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нарушения условий жизнедеятельности составляется заключение в двух экземплярах.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заключении отражаются обоснованные выводы об имевшем место факте нарушения условий жизнедеятельности при аварии на опасном объекте с указанием даты начала нарушения условий жизнедеятельности либо об отсутствии такого факта в соответствии с критериями, по которым устанавливается факт нарушения условий жизнедеятельности при аварии на опасном объекте, с указанием места проживания потерпевшего.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17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14.07.2016 N 376)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если установление факта нарушения условий жизнедеятельности при аварии на опасном объекте осуществлялось в инициативном порядке, заключение подписывается руководителем органа местного самоуправления в течение десяти рабочих дней с момента установления факта нарушения условий жизнедеятельности (отсутствия факта нарушения).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десяти рабочих дней со дня подписания заключения заверенная в установленном порядке копия заключения направляется потерпевшему.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18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14.07.2016 N 376)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Исключен с 6 сентября 2016 года. - </w:t>
      </w:r>
      <w:hyperlink w:history="0" r:id="rId19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14.07.2016 N 376.</w:t>
      </w:r>
    </w:p>
    <w:p>
      <w:pPr>
        <w:pStyle w:val="0"/>
        <w:spacing w:before="200" w:line-rule="auto"/>
        <w:ind w:firstLine="540"/>
        <w:jc w:val="both"/>
      </w:pPr>
      <w:hyperlink w:history="0" r:id="rId20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. В случае если установление факта нарушения условий жизнедеятельности при аварии на опасном объекте осуществлялось в инициативном порядке органами местного самоуправления, то заверенная в установленном порядке копия заключения выдается по заявлению потерпевшего в течение трех рабочих дней со дня обращения потерпевшего.</w:t>
      </w:r>
    </w:p>
    <w:p>
      <w:pPr>
        <w:pStyle w:val="0"/>
        <w:spacing w:before="200" w:line-rule="auto"/>
        <w:ind w:firstLine="540"/>
        <w:jc w:val="both"/>
      </w:pPr>
      <w:hyperlink w:history="0" r:id="rId21" w:tooltip="Приказ МЧС России от 14.07.2016 N 376 &quot;О внесении изменений в приложение к приказу МЧС России от 30.12.2011 N 795&quot; (Зарегистрировано в Минюсте России 01.08.2016 N 43055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. Заключения и заявления хранятся в органе местного самоуправления в порядке, определенном для хранения соответствующих документов.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установления</w:t>
      </w:r>
    </w:p>
    <w:p>
      <w:pPr>
        <w:pStyle w:val="0"/>
        <w:jc w:val="right"/>
      </w:pPr>
      <w:r>
        <w:rPr>
          <w:sz w:val="20"/>
        </w:rPr>
        <w:t xml:space="preserve">факта нарушения условий</w:t>
      </w:r>
    </w:p>
    <w:p>
      <w:pPr>
        <w:pStyle w:val="0"/>
        <w:jc w:val="right"/>
      </w:pPr>
      <w:r>
        <w:rPr>
          <w:sz w:val="20"/>
        </w:rPr>
        <w:t xml:space="preserve">жизнедеятельности при аварии на</w:t>
      </w:r>
    </w:p>
    <w:p>
      <w:pPr>
        <w:pStyle w:val="0"/>
        <w:jc w:val="right"/>
      </w:pPr>
      <w:r>
        <w:rPr>
          <w:sz w:val="20"/>
        </w:rPr>
        <w:t xml:space="preserve">опасном объекте, включая</w:t>
      </w:r>
    </w:p>
    <w:p>
      <w:pPr>
        <w:pStyle w:val="0"/>
        <w:jc w:val="right"/>
      </w:pPr>
      <w:r>
        <w:rPr>
          <w:sz w:val="20"/>
        </w:rPr>
        <w:t xml:space="preserve">критерии, по которым</w:t>
      </w:r>
    </w:p>
    <w:p>
      <w:pPr>
        <w:pStyle w:val="0"/>
        <w:jc w:val="right"/>
      </w:pPr>
      <w:r>
        <w:rPr>
          <w:sz w:val="20"/>
        </w:rPr>
        <w:t xml:space="preserve">устанавливается указанный факт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7" w:name="P107"/>
    <w:bookmarkEnd w:id="107"/>
    <w:p>
      <w:pPr>
        <w:pStyle w:val="0"/>
        <w:jc w:val="center"/>
      </w:pPr>
      <w:r>
        <w:rPr>
          <w:sz w:val="20"/>
        </w:rPr>
        <w:t xml:space="preserve">АЛГОРИТМ</w:t>
      </w:r>
    </w:p>
    <w:p>
      <w:pPr>
        <w:pStyle w:val="0"/>
        <w:jc w:val="center"/>
      </w:pPr>
      <w:r>
        <w:rPr>
          <w:sz w:val="20"/>
        </w:rPr>
        <w:t xml:space="preserve">ОПРЕДЕЛЕНИЯ СТЕПЕНИ ПОВРЕЖДЕНИЯ ЗДАНИЯ (ПОМЕЩЕНИЯ) &lt;*&gt;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22" w:tooltip="Приказ Госстроя РФ от 02.08.2002 N 167 &lt;Об утверждении Порядка проведения обследования технического состояния объектов, пострадавших в результате чрезвычайных ситуаций&gt; (Зарегистрировано в Минюсте РФ 29.10.2002 N 389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Госстроя России от 02.08.2002 N 167 (зарегистрирован в Министерстве юстиции Российской Федерации 29 октября 2002 г., регистрационный N 3890).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Степень повреждения здания (помещения) определяется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Определение степени повреждения элементов зданий (помещений), пострадавших в результате аварии на опасном объекте (</w:t>
      </w:r>
      <w:r>
        <w:rPr>
          <w:position w:val="-8"/>
        </w:rPr>
        <w:drawing>
          <wp:inline distT="0" distB="0" distL="0" distR="0">
            <wp:extent cx="190500" cy="2355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), которое производится в процентах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548765" cy="2590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 (1)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 </w:t>
      </w:r>
      <w:r>
        <w:rPr>
          <w:position w:val="-8"/>
        </w:rPr>
        <w:drawing>
          <wp:inline distT="0" distB="0" distL="0" distR="0">
            <wp:extent cx="190500" cy="2355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часть поврежденного и частично разрушенного конструктивного элемента, в процентах;</w:t>
      </w:r>
    </w:p>
    <w:p>
      <w:pPr>
        <w:pStyle w:val="0"/>
        <w:spacing w:before="200" w:line-rule="auto"/>
        <w:ind w:firstLine="540"/>
        <w:jc w:val="both"/>
      </w:pPr>
      <w:r>
        <w:rPr>
          <w:position w:val="-8"/>
        </w:rPr>
        <w:drawing>
          <wp:inline distT="0" distB="0" distL="0" distR="0">
            <wp:extent cx="199390" cy="2355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процент износа сохранившейся части конструктивного элемента, определяемый исходя из срока использования конструктивного элемента.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Определение степени повреждения здания (помещения) (П), которое производится в процентах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8"/>
        </w:rPr>
        <w:drawing>
          <wp:inline distT="0" distB="0" distL="0" distR="0">
            <wp:extent cx="1078865" cy="4876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 (2)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 </w:t>
      </w:r>
      <w:r>
        <w:rPr>
          <w:position w:val="-8"/>
        </w:rPr>
        <w:drawing>
          <wp:inline distT="0" distB="0" distL="0" distR="0">
            <wp:extent cx="190500" cy="2355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степень повреждения i-го конструктивного элемента, в процентах;</w:t>
      </w:r>
    </w:p>
    <w:p>
      <w:pPr>
        <w:pStyle w:val="0"/>
        <w:spacing w:before="200" w:line-rule="auto"/>
        <w:ind w:firstLine="540"/>
        <w:jc w:val="both"/>
      </w:pPr>
      <w:r>
        <w:rPr>
          <w:position w:val="-8"/>
        </w:rPr>
        <w:drawing>
          <wp:inline distT="0" distB="0" distL="0" distR="0">
            <wp:extent cx="182245" cy="2349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удельный вес i-го конструктивного элемента, в процентах.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Удельные веса конструктивных элементов зданий (помещений) приведены в таблице П 1.1.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П 1.1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25"/>
        <w:gridCol w:w="4785"/>
      </w:tblGrid>
      <w:tr>
        <w:tc>
          <w:tcPr>
            <w:tcW w:w="7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конструктивных элементов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Удельные веса, %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Фундаменты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Стены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Перегородки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Перекрытия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Полы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Окна и двери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Отделочные работы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6,6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Печное отопление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4,2</w:t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Электроосвещение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2,2</w:t>
            </w:r>
          </w:p>
        </w:tc>
      </w:tr>
      <w:tr>
        <w:tc>
          <w:tcPr>
            <w:tcW w:w="742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742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Определение уровня технического состояния здания (помещения), которое производится по таблице П 1.2.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П 1.2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85"/>
        <w:gridCol w:w="7425"/>
      </w:tblGrid>
      <w:tr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повреждения (П), %</w:t>
            </w:r>
          </w:p>
        </w:tc>
        <w:tc>
          <w:tcPr>
            <w:tcW w:w="7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технического состояния</w:t>
            </w:r>
          </w:p>
        </w:tc>
      </w:tr>
      <w:tr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1 - 20</w:t>
            </w:r>
          </w:p>
        </w:tc>
        <w:tc>
          <w:tcPr>
            <w:tcW w:w="7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Хорошее</w:t>
            </w:r>
          </w:p>
        </w:tc>
      </w:tr>
      <w:tr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21 - 40</w:t>
            </w:r>
          </w:p>
        </w:tc>
        <w:tc>
          <w:tcPr>
            <w:tcW w:w="7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Удовлетворительное</w:t>
            </w:r>
          </w:p>
        </w:tc>
      </w:tr>
      <w:tr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41 - 60</w:t>
            </w:r>
          </w:p>
        </w:tc>
        <w:tc>
          <w:tcPr>
            <w:tcW w:w="7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Неудовлетворительное</w:t>
            </w:r>
          </w:p>
        </w:tc>
      </w:tr>
      <w:tr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61 - 80</w:t>
            </w:r>
          </w:p>
        </w:tc>
        <w:tc>
          <w:tcPr>
            <w:tcW w:w="7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Ветхое</w:t>
            </w:r>
          </w:p>
        </w:tc>
      </w:tr>
      <w:tr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80</w:t>
            </w:r>
          </w:p>
        </w:tc>
        <w:tc>
          <w:tcPr>
            <w:tcW w:w="7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Негодное</w:t>
            </w:r>
          </w:p>
        </w:tc>
      </w:tr>
    </w:tbl>
    <w:p>
      <w:pPr>
        <w:sectPr>
          <w:headerReference w:type="default" r:id="rId30"/>
          <w:headerReference w:type="first" r:id="rId30"/>
          <w:footerReference w:type="default" r:id="rId31"/>
          <w:footerReference w:type="first" r:id="rId3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Невозможность проживания потерпевшего в жилых помещениях (местах постоянного проживания) констатируется, если в результате аварии на опасном объекте в зданиях (помещениях) с уровнем технического состояния "хорошо" или "удовлетворительно" произошло ухудшение уровня технического состояния до "неудовлетворительно", а в зданиях с уровнем технического состояния "неудовлетворительно" или "ветхое" произошло ухудшение состояния до "негодное".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установления</w:t>
      </w:r>
    </w:p>
    <w:p>
      <w:pPr>
        <w:pStyle w:val="0"/>
        <w:jc w:val="right"/>
      </w:pPr>
      <w:r>
        <w:rPr>
          <w:sz w:val="20"/>
        </w:rPr>
        <w:t xml:space="preserve">факта нарушения условий</w:t>
      </w:r>
    </w:p>
    <w:p>
      <w:pPr>
        <w:pStyle w:val="0"/>
        <w:jc w:val="right"/>
      </w:pPr>
      <w:r>
        <w:rPr>
          <w:sz w:val="20"/>
        </w:rPr>
        <w:t xml:space="preserve">жизнедеятельности при аварии</w:t>
      </w:r>
    </w:p>
    <w:p>
      <w:pPr>
        <w:pStyle w:val="0"/>
        <w:jc w:val="right"/>
      </w:pPr>
      <w:r>
        <w:rPr>
          <w:sz w:val="20"/>
        </w:rPr>
        <w:t xml:space="preserve">на опасном объекте, включая</w:t>
      </w:r>
    </w:p>
    <w:p>
      <w:pPr>
        <w:pStyle w:val="0"/>
        <w:jc w:val="right"/>
      </w:pPr>
      <w:r>
        <w:rPr>
          <w:sz w:val="20"/>
        </w:rPr>
        <w:t xml:space="preserve">критерии, по которым</w:t>
      </w:r>
    </w:p>
    <w:p>
      <w:pPr>
        <w:pStyle w:val="0"/>
        <w:jc w:val="right"/>
      </w:pPr>
      <w:r>
        <w:rPr>
          <w:sz w:val="20"/>
        </w:rPr>
        <w:t xml:space="preserve">устанавливается указанный факт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0" w:name="P190"/>
    <w:bookmarkEnd w:id="190"/>
    <w:p>
      <w:pPr>
        <w:pStyle w:val="0"/>
        <w:jc w:val="center"/>
      </w:pPr>
      <w:r>
        <w:rPr>
          <w:sz w:val="20"/>
        </w:rPr>
        <w:t xml:space="preserve">АЛГОРИТМ</w:t>
      </w:r>
    </w:p>
    <w:p>
      <w:pPr>
        <w:pStyle w:val="0"/>
        <w:jc w:val="center"/>
      </w:pPr>
      <w:r>
        <w:rPr>
          <w:sz w:val="20"/>
        </w:rPr>
        <w:t xml:space="preserve">ОПРЕДЕЛЕНИЯ СОСТОЯНИЯ ТЕПЛОСНАБЖЕНИЯ ЗДАНИЯ (ПОМЕЩЕНИЯ) &lt;*&gt;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32" w:tooltip="Постановление Главного государственного санитарного врача РФ от 27.12.2010 N 175 &quot;Об утверждении СанПиН 2.1.2.2801-10 &quot;Изменения и дополнения N 1 к СанПиН 2.1.2.2645-10 &quot;Санитарно-эпидемиологические требования к условиям проживания в жилых зданиях и помещениях&quot; (вместе с &quot;СанПиН 2.1.2.2801-10. Изменения и дополнения N 1 к СанПиН 2.1.2.2645-10. Санитарно-эпидемиологические требования к условиям проживания в жилых зданиях и помещениях. Санитарно-эпидемиологические правила и нормативы&quot;) (Зарегистрировано в Мин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27 декабря 2010 г. N 175 "Об утверждении СанПиН 2.1.2.2801-10 "Изменения и дополнения N 1 к СанПиН 2.1.2.2645-10 "Санитарно-эпидемиологические требования к условиям проживания в жилых зданиях и помещениях" (зарегистрировано в Министерстве юстиции Российской Федерации 28 февраля 2011 г., регистрационный N 19948).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Состояние теплоснабжения здания (помещения) определяется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 помощи психрометра определяется температура и относительная влажность воздуха помещений в здании.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Полученные результаты измерения сравниваются с допустимыми нормами температуры и относительной влажности воздуха, представленными в таблице П 2.1.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П 2.1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5"/>
        <w:gridCol w:w="5940"/>
        <w:gridCol w:w="2805"/>
      </w:tblGrid>
      <w:tr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помещений</w:t>
            </w:r>
          </w:p>
        </w:tc>
        <w:tc>
          <w:tcPr>
            <w:tcW w:w="5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Температура воздуха, °C</w:t>
            </w:r>
          </w:p>
        </w:tc>
        <w:tc>
          <w:tcPr>
            <w:tcW w:w="2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Относительная влажность, %</w:t>
            </w:r>
          </w:p>
        </w:tc>
      </w:tr>
      <w:tr>
        <w:tc>
          <w:tcPr>
            <w:gridSpan w:val="3"/>
            <w:tcW w:w="1221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Холодный период года</w:t>
            </w:r>
          </w:p>
        </w:tc>
      </w:tr>
      <w:tr>
        <w:tc>
          <w:tcPr>
            <w:tcW w:w="3465" w:type="dxa"/>
          </w:tcPr>
          <w:p>
            <w:pPr>
              <w:pStyle w:val="0"/>
            </w:pPr>
            <w:r>
              <w:rPr>
                <w:sz w:val="20"/>
              </w:rPr>
              <w:t xml:space="preserve">Жилая комната</w:t>
            </w:r>
          </w:p>
        </w:tc>
        <w:tc>
          <w:tcPr>
            <w:tcW w:w="5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ниже 18</w:t>
            </w:r>
          </w:p>
        </w:tc>
        <w:tc>
          <w:tcPr>
            <w:tcW w:w="2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выше 60</w:t>
            </w:r>
          </w:p>
        </w:tc>
      </w:tr>
      <w:tr>
        <w:tc>
          <w:tcPr>
            <w:tcW w:w="3465" w:type="dxa"/>
          </w:tcPr>
          <w:p>
            <w:pPr>
              <w:pStyle w:val="0"/>
            </w:pPr>
            <w:r>
              <w:rPr>
                <w:sz w:val="20"/>
              </w:rPr>
              <w:t xml:space="preserve">Кухня, туалет, ванная, совмещенный санузел</w:t>
            </w:r>
          </w:p>
        </w:tc>
        <w:tc>
          <w:tcPr>
            <w:tcW w:w="5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ниже 18</w:t>
            </w:r>
          </w:p>
        </w:tc>
        <w:tc>
          <w:tcPr>
            <w:tcW w:w="2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gridSpan w:val="3"/>
            <w:tcW w:w="1221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Теплый период года</w:t>
            </w:r>
          </w:p>
        </w:tc>
      </w:tr>
      <w:tr>
        <w:tc>
          <w:tcPr>
            <w:tcW w:w="3465" w:type="dxa"/>
          </w:tcPr>
          <w:p>
            <w:pPr>
              <w:pStyle w:val="0"/>
            </w:pPr>
            <w:r>
              <w:rPr>
                <w:sz w:val="20"/>
              </w:rPr>
              <w:t xml:space="preserve">Жилая комната</w:t>
            </w:r>
          </w:p>
        </w:tc>
        <w:tc>
          <w:tcPr>
            <w:tcW w:w="5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ниже 20</w:t>
            </w:r>
          </w:p>
        </w:tc>
        <w:tc>
          <w:tcPr>
            <w:tcW w:w="2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выше 65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более суток измеряемые значения не соответствуют допустимым нормам температуры и относительной влажности воздуха, то проверяется причина такого несоответствия. Если причиной стала авария на опасном объекте, то констатируется невозможность проживания потерпевшего в жилых помещениях (местах постоянного проживания).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0"/>
      <w:headerReference w:type="first" r:id="rId30"/>
      <w:footerReference w:type="default" r:id="rId31"/>
      <w:footerReference w:type="first" r:id="rId3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30.12.2011 N 795</w:t>
            <w:br/>
            <w:t>(ред. от 14.07.2016)</w:t>
            <w:br/>
            <w:t>"Об утверждении Порядка установления факта нарушения условий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30.12.2011 N 795</w:t>
            <w:br/>
            <w:t>(ред. от 14.07.2016)</w:t>
            <w:br/>
            <w:t>"Об утверждении Порядка установления факта нарушения условий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FC20720645B718EB37F8A0E725A5DF50550D49CC028C2738F4B61AC78E3DF739AC5D348736A67B16A66E89C9308A24A10C409860E11F113EAnEO" TargetMode = "External"/>
	<Relationship Id="rId8" Type="http://schemas.openxmlformats.org/officeDocument/2006/relationships/hyperlink" Target="consultantplus://offline/ref=5FC20720645B718EB37F8A0E725A5DF50652D799CA27C2738F4B61AC78E3DF739AC5D348736A67B16A66E89C9308A24A10C409860E11F113EAnEO" TargetMode = "External"/>
	<Relationship Id="rId9" Type="http://schemas.openxmlformats.org/officeDocument/2006/relationships/hyperlink" Target="consultantplus://offline/ref=5FC20720645B718EB37F8A0E725A5DF50550D49CC028C2738F4B61AC78E3DF739AC5D348736A67B16A66E89C9308A24A10C409860E11F113EAnEO" TargetMode = "External"/>
	<Relationship Id="rId10" Type="http://schemas.openxmlformats.org/officeDocument/2006/relationships/hyperlink" Target="consultantplus://offline/ref=5FC20720645B718EB37F8A0E725A5DF50353D099C12BC2738F4B61AC78E3DF739AC5D348736A67B86D66E89C9308A24A10C409860E11F113EAnEO" TargetMode = "External"/>
	<Relationship Id="rId11" Type="http://schemas.openxmlformats.org/officeDocument/2006/relationships/hyperlink" Target="consultantplus://offline/ref=5FC20720645B718EB37F8A0E725A5DF50652D799CA27C2738F4B61AC78E3DF739AC5D348736A67B16A66E89C9308A24A10C409860E11F113EAnEO" TargetMode = "External"/>
	<Relationship Id="rId12" Type="http://schemas.openxmlformats.org/officeDocument/2006/relationships/hyperlink" Target="consultantplus://offline/ref=5FC20720645B718EB37F8A0E725A5DF50550D49CC028C2738F4B61AC78E3DF739AC5D348736A67B06C66E89C9308A24A10C409860E11F113EAnEO" TargetMode = "External"/>
	<Relationship Id="rId13" Type="http://schemas.openxmlformats.org/officeDocument/2006/relationships/hyperlink" Target="consultantplus://offline/ref=5FC20720645B718EB37F8A0E725A5DF50550D29CC52AC2738F4B61AC78E3DF7388C58B44726C79B16A73BECDD5E5nEO" TargetMode = "External"/>
	<Relationship Id="rId14" Type="http://schemas.openxmlformats.org/officeDocument/2006/relationships/hyperlink" Target="consultantplus://offline/ref=5FC20720645B718EB37F8A0E725A5DF50550D49CC028C2738F4B61AC78E3DF739AC5D348736A67B06A66E89C9308A24A10C409860E11F113EAnEO" TargetMode = "External"/>
	<Relationship Id="rId15" Type="http://schemas.openxmlformats.org/officeDocument/2006/relationships/hyperlink" Target="consultantplus://offline/ref=5FC20720645B718EB37F8A0E725A5DF50353D099C12BC2738F4B61AC78E3DF7388C58B44726C79B16A73BECDD5E5nEO" TargetMode = "External"/>
	<Relationship Id="rId16" Type="http://schemas.openxmlformats.org/officeDocument/2006/relationships/hyperlink" Target="consultantplus://offline/ref=5FC20720645B718EB37F8A0E725A5DF50550D49CC028C2738F4B61AC78E3DF739AC5D348736A67B06866E89C9308A24A10C409860E11F113EAnEO" TargetMode = "External"/>
	<Relationship Id="rId17" Type="http://schemas.openxmlformats.org/officeDocument/2006/relationships/hyperlink" Target="consultantplus://offline/ref=5FC20720645B718EB37F8A0E725A5DF50550D49CC028C2738F4B61AC78E3DF739AC5D348736A67B06766E89C9308A24A10C409860E11F113EAnEO" TargetMode = "External"/>
	<Relationship Id="rId18" Type="http://schemas.openxmlformats.org/officeDocument/2006/relationships/hyperlink" Target="consultantplus://offline/ref=5FC20720645B718EB37F8A0E725A5DF50550D49CC028C2738F4B61AC78E3DF739AC5D348736A67B36F66E89C9308A24A10C409860E11F113EAnEO" TargetMode = "External"/>
	<Relationship Id="rId19" Type="http://schemas.openxmlformats.org/officeDocument/2006/relationships/hyperlink" Target="consultantplus://offline/ref=5FC20720645B718EB37F8A0E725A5DF50550D49CC028C2738F4B61AC78E3DF739AC5D348736A67B36C66E89C9308A24A10C409860E11F113EAnEO" TargetMode = "External"/>
	<Relationship Id="rId20" Type="http://schemas.openxmlformats.org/officeDocument/2006/relationships/hyperlink" Target="consultantplus://offline/ref=5FC20720645B718EB37F8A0E725A5DF50550D49CC028C2738F4B61AC78E3DF739AC5D348736A67B36B66E89C9308A24A10C409860E11F113EAnEO" TargetMode = "External"/>
	<Relationship Id="rId21" Type="http://schemas.openxmlformats.org/officeDocument/2006/relationships/hyperlink" Target="consultantplus://offline/ref=5FC20720645B718EB37F8A0E725A5DF50550D49CC028C2738F4B61AC78E3DF739AC5D348736A67B36B66E89C9308A24A10C409860E11F113EAnEO" TargetMode = "External"/>
	<Relationship Id="rId22" Type="http://schemas.openxmlformats.org/officeDocument/2006/relationships/hyperlink" Target="consultantplus://offline/ref=5FC20720645B718EB37F8A0E725A5DF50459D29EC5249F7987126DAE7FEC80769DD4D348757467B4716FBCCFEDn4O" TargetMode = "External"/>
	<Relationship Id="rId23" Type="http://schemas.openxmlformats.org/officeDocument/2006/relationships/image" Target="media/image2.wmf"/>
	<Relationship Id="rId24" Type="http://schemas.openxmlformats.org/officeDocument/2006/relationships/image" Target="media/image3.wmf"/>
	<Relationship Id="rId25" Type="http://schemas.openxmlformats.org/officeDocument/2006/relationships/image" Target="media/image4.wmf"/>
	<Relationship Id="rId26" Type="http://schemas.openxmlformats.org/officeDocument/2006/relationships/image" Target="media/image5.wmf"/>
	<Relationship Id="rId27" Type="http://schemas.openxmlformats.org/officeDocument/2006/relationships/image" Target="media/image6.wmf"/>
	<Relationship Id="rId28" Type="http://schemas.openxmlformats.org/officeDocument/2006/relationships/image" Target="media/image7.wmf"/>
	<Relationship Id="rId29" Type="http://schemas.openxmlformats.org/officeDocument/2006/relationships/image" Target="media/image8.wmf"/>
	<Relationship Id="rId30" Type="http://schemas.openxmlformats.org/officeDocument/2006/relationships/header" Target="header2.xml"/>
	<Relationship Id="rId31" Type="http://schemas.openxmlformats.org/officeDocument/2006/relationships/footer" Target="footer2.xml"/>
	<Relationship Id="rId32" Type="http://schemas.openxmlformats.org/officeDocument/2006/relationships/hyperlink" Target="consultantplus://offline/ref=5FC20720645B718EB37F8A0E725A5DF50651D798C029C2738F4B61AC78E3DF7388C58B44726C79B16A73BECDD5E5nE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30.12.2011 N 795
(ред. от 14.07.2016)
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
(Зарегистрировано в Минюсте России 11.03.2012 N 23433)</dc:title>
  <dcterms:created xsi:type="dcterms:W3CDTF">2023-05-16T14:39:04Z</dcterms:created>
</cp:coreProperties>
</file>